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9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«Хочу продать пай, как это сделать правильно?»</w:t>
      </w:r>
    </w:p>
    <w:p>
      <w:pPr>
        <w:ind w:firstLine="709"/>
        <w:jc w:val="both"/>
        <w:rPr>
          <w:color w:val="000000"/>
          <w:sz w:val="28"/>
          <w:szCs w:val="28"/>
        </w:rPr>
      </w:pPr>
    </w:p>
    <w:p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Паевый</w:t>
      </w:r>
      <w:proofErr w:type="spellEnd"/>
      <w:r>
        <w:rPr>
          <w:color w:val="000000"/>
          <w:sz w:val="28"/>
          <w:szCs w:val="28"/>
        </w:rPr>
        <w:t xml:space="preserve"> земельный участок обладает особым правовым статусом по сравнению с другими земельными участками. Особенности оборота земельных паев (долей), в том числе их купли-продажи, регулируются Федеральным законом от 24.07.2002 № 101-ФЗ «Об обороте земель сельскохозяйственного назначения» (далее – Закон).</w:t>
      </w:r>
    </w:p>
    <w:p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Первое, что нужно учитывать при совершении сделок с земельными наделами, это то, что земельный пай (земельная доля) не является отдельным самостоятельным участком, пайщик не может самостоятельно либо с привлечением специалистов определить границы принадлежащих ему 4-5 гектаров. Пай – это одна из долей в </w:t>
      </w:r>
      <w:r>
        <w:rPr>
          <w:sz w:val="28"/>
          <w:szCs w:val="28"/>
        </w:rPr>
        <w:t xml:space="preserve">праве общей долевой собственности на </w:t>
      </w:r>
      <w:r>
        <w:rPr>
          <w:rStyle w:val="aa"/>
          <w:b w:val="0"/>
          <w:sz w:val="28"/>
          <w:szCs w:val="28"/>
        </w:rPr>
        <w:t>земельный участок из земель сельскохозяйственного назначения.</w:t>
      </w:r>
    </w:p>
    <w:p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купли-продажи различаются, во-первых, в зависимости от числа пайщиков, общая долевая собственность которых зарегистрирована на земельный участок (земельные участки). Так, если пайщиков пять или меньше, то к сделкам с их долями применяются правила Гражданского кодекса РФ.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участок находится в собственности более пяти лиц (на территории нашего района все паевые участки именно такие), то правила ГК РФ применяются с учетом особенностей, установленных Законом. 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Законом установлены особенности приобретения земельной доли у муниципального образования. В течение шести месяцев со дня возникновения права муниципальной собственности на земельную долю ее может купить </w:t>
      </w:r>
      <w:proofErr w:type="spellStart"/>
      <w:r>
        <w:rPr>
          <w:sz w:val="28"/>
          <w:szCs w:val="28"/>
        </w:rPr>
        <w:t>сельхозорганизация</w:t>
      </w:r>
      <w:proofErr w:type="spellEnd"/>
      <w:r>
        <w:rPr>
          <w:sz w:val="28"/>
          <w:szCs w:val="28"/>
        </w:rPr>
        <w:t xml:space="preserve"> или крестьянское (фермерское) хозяйство, использующие земельный участок, в котором продается земельная доля.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Важен также следующий момент: продажа доли может осуществляться без выделения земельного участка в счет земельной доли или с выделением земельного участка.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содержит закрытый перечень случаев, когда совершение сделки с земельной </w:t>
      </w:r>
      <w:proofErr w:type="gramStart"/>
      <w:r>
        <w:rPr>
          <w:sz w:val="28"/>
          <w:szCs w:val="28"/>
        </w:rPr>
        <w:t>долей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возможно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без выделения участка</w:t>
      </w:r>
      <w:r>
        <w:rPr>
          <w:sz w:val="28"/>
          <w:szCs w:val="28"/>
        </w:rPr>
        <w:t>.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выделения земельного участка земельную долю могут купить исключительно сособственники или лицо, которое уже использует земельный участок, находящийся в долевой собственности, - член крестьянского (фермерского) хозяйства или сельхозпредприятие. 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доля продается одному из указанных лиц, извещать других участников долевой собственности о намерении продать свою долю не нужно. </w:t>
      </w:r>
    </w:p>
    <w:p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Продажа земельной доли любому стороннему лицу возможна только после </w:t>
      </w:r>
      <w:r>
        <w:rPr>
          <w:sz w:val="28"/>
          <w:szCs w:val="28"/>
          <w:u w:val="single"/>
        </w:rPr>
        <w:t>выделения участка в счет доли.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Выдел земельного участка в счет земельной доли осуществляется в соответствии с решением участников долевой собственности, которое принимается на общем собрании участников долевой собственности.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решение общего собрания участников долевой собственности отсутствует,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инженером, который подготавливает проект межевания земельного участка для выдела земельного участка в счет земельной доли или земельных долей.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 обоих вариантах предусмотрена процедура извещения других пайщиков (дольщиков) о выделе земельного участка.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</w:p>
    <w:p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Выделенный из паевого земельный участок приобретает новый статус, при его продаже необходимо учитывать особенности совершения сделок, установленных Законом Республики Башкортостан от 05.01.2004 № 59-з «О регулировании земельных отношений в Республике Башкортостан» (далее – Закон РБ).</w:t>
      </w:r>
      <w:proofErr w:type="gramEnd"/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24 Закона РБ прописаны следующие нормы.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продаже земельного участка из земель сельскохозяйственного назначения Республика Башкортостан имеет преимущественное право покупки такого земельного участка по цене, за которую он продается, за исключением случаев продажи с публичных торгов и случаев изъятия земельного участка для государственных или муниципальных нужд.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Продавец земельного участка из земель сельскохозяйственного назначения обязан известить в письменной форме Правительство Республики Башкортостан о намерении продать земельный участок с указанием цены, размера, местоположения земельного участка и срока, до истечения которого должен быть осуществлен взаимный расчет. Извещение вручается под расписку или направляется заказным письмом с уведомлением о вручении.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Республика Башкортостан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в Правительство Республики Башкортостан, продавец в течение года вправе продать земельный участок третьему лицу по цене не ниже указанной в извещении. 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собственности на земельную долю, возникающее на основании договора купли-продажи, подлежит государственной регистрации в Едином государственном реестре недвижимости.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договор купли-продажи заключен в простой форме, законность сделки проверит государственный регистратор прав – федеральный государственный гражданский служащий Росреестра.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договор купли-продажи заключен в нотариальной форме,  законность сделки проверит нотариус. При этом для сделок по отчуждению земельных долей не предусмотрено обязательное нотариальн</w:t>
      </w:r>
      <w:bookmarkStart w:id="0" w:name="_GoBack"/>
      <w:bookmarkEnd w:id="0"/>
      <w:r>
        <w:rPr>
          <w:sz w:val="28"/>
          <w:szCs w:val="28"/>
        </w:rPr>
        <w:t>ое удостоверение.</w:t>
      </w:r>
    </w:p>
    <w:sectPr>
      <w:headerReference w:type="even" r:id="rId9"/>
      <w:pgSz w:w="11906" w:h="16838" w:code="9"/>
      <w:pgMar w:top="1134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6E17"/>
    <w:multiLevelType w:val="hybridMultilevel"/>
    <w:tmpl w:val="3D90231A"/>
    <w:lvl w:ilvl="0" w:tplc="24228338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5C2689D2">
      <w:numFmt w:val="none"/>
      <w:lvlText w:val=""/>
      <w:lvlJc w:val="left"/>
      <w:pPr>
        <w:tabs>
          <w:tab w:val="num" w:pos="360"/>
        </w:tabs>
      </w:pPr>
    </w:lvl>
    <w:lvl w:ilvl="2" w:tplc="C882B7A2">
      <w:numFmt w:val="none"/>
      <w:lvlText w:val=""/>
      <w:lvlJc w:val="left"/>
      <w:pPr>
        <w:tabs>
          <w:tab w:val="num" w:pos="360"/>
        </w:tabs>
      </w:pPr>
    </w:lvl>
    <w:lvl w:ilvl="3" w:tplc="6CBE2DF4">
      <w:numFmt w:val="none"/>
      <w:lvlText w:val=""/>
      <w:lvlJc w:val="left"/>
      <w:pPr>
        <w:tabs>
          <w:tab w:val="num" w:pos="360"/>
        </w:tabs>
      </w:pPr>
    </w:lvl>
    <w:lvl w:ilvl="4" w:tplc="55DE7716">
      <w:numFmt w:val="none"/>
      <w:lvlText w:val=""/>
      <w:lvlJc w:val="left"/>
      <w:pPr>
        <w:tabs>
          <w:tab w:val="num" w:pos="360"/>
        </w:tabs>
      </w:pPr>
    </w:lvl>
    <w:lvl w:ilvl="5" w:tplc="E77631F2">
      <w:numFmt w:val="none"/>
      <w:lvlText w:val=""/>
      <w:lvlJc w:val="left"/>
      <w:pPr>
        <w:tabs>
          <w:tab w:val="num" w:pos="360"/>
        </w:tabs>
      </w:pPr>
    </w:lvl>
    <w:lvl w:ilvl="6" w:tplc="60CE3DE4">
      <w:numFmt w:val="none"/>
      <w:lvlText w:val=""/>
      <w:lvlJc w:val="left"/>
      <w:pPr>
        <w:tabs>
          <w:tab w:val="num" w:pos="360"/>
        </w:tabs>
      </w:pPr>
    </w:lvl>
    <w:lvl w:ilvl="7" w:tplc="D3A88F3C">
      <w:numFmt w:val="none"/>
      <w:lvlText w:val=""/>
      <w:lvlJc w:val="left"/>
      <w:pPr>
        <w:tabs>
          <w:tab w:val="num" w:pos="360"/>
        </w:tabs>
      </w:pPr>
    </w:lvl>
    <w:lvl w:ilvl="8" w:tplc="58D41FC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5E6614"/>
    <w:multiLevelType w:val="multilevel"/>
    <w:tmpl w:val="A1CC9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2">
    <w:name w:val="heading 2"/>
    <w:basedOn w:val="a0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0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1"/>
  </w:style>
  <w:style w:type="paragraph" w:styleId="a7">
    <w:name w:val="header"/>
    <w:basedOn w:val="a0"/>
    <w:pPr>
      <w:tabs>
        <w:tab w:val="center" w:pos="4677"/>
        <w:tab w:val="right" w:pos="9355"/>
      </w:tabs>
    </w:pPr>
  </w:style>
  <w:style w:type="character" w:styleId="a8">
    <w:name w:val="Hyperlink"/>
    <w:basedOn w:val="a1"/>
    <w:rPr>
      <w:color w:val="0000FF"/>
      <w:u w:val="single"/>
    </w:rPr>
  </w:style>
  <w:style w:type="paragraph" w:styleId="a9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1"/>
    <w:link w:val="3"/>
    <w:semiHidden/>
    <w:rPr>
      <w:rFonts w:ascii="Cambria" w:eastAsia="Times New Roman" w:hAnsi="Cambria" w:cs="Times New Roman"/>
      <w:bCs/>
      <w:sz w:val="26"/>
      <w:szCs w:val="26"/>
    </w:rPr>
  </w:style>
  <w:style w:type="character" w:customStyle="1" w:styleId="wide1">
    <w:name w:val="wide1"/>
    <w:basedOn w:val="a1"/>
  </w:style>
  <w:style w:type="character" w:styleId="aa">
    <w:name w:val="Strong"/>
    <w:basedOn w:val="a1"/>
    <w:uiPriority w:val="22"/>
    <w:qFormat/>
    <w:rPr>
      <w:b/>
      <w:bCs/>
    </w:rPr>
  </w:style>
  <w:style w:type="paragraph" w:customStyle="1" w:styleId="ab">
    <w:name w:val="Знак"/>
    <w:basedOn w:val="a0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b/>
      <w:i/>
      <w:sz w:val="28"/>
      <w:szCs w:val="20"/>
      <w:lang w:val="en-GB" w:eastAsia="en-US"/>
    </w:rPr>
  </w:style>
  <w:style w:type="character" w:styleId="HTML0">
    <w:name w:val="HTML Cite"/>
    <w:basedOn w:val="a1"/>
    <w:rPr>
      <w:i w:val="0"/>
      <w:iCs w:val="0"/>
      <w:color w:val="388222"/>
    </w:rPr>
  </w:style>
  <w:style w:type="character" w:customStyle="1" w:styleId="20">
    <w:name w:val="Заголовок 2 Знак"/>
    <w:basedOn w:val="a1"/>
    <w:link w:val="2"/>
    <w:uiPriority w:val="9"/>
    <w:rPr>
      <w:bCs/>
      <w:sz w:val="36"/>
      <w:szCs w:val="36"/>
    </w:rPr>
  </w:style>
  <w:style w:type="character" w:customStyle="1" w:styleId="FontStyle17">
    <w:name w:val="Font Style17"/>
    <w:basedOn w:val="a1"/>
    <w:rPr>
      <w:rFonts w:ascii="Times New Roman" w:hAnsi="Times New Roman" w:cs="Times New Roman" w:hint="default"/>
      <w:b/>
      <w:bCs w:val="0"/>
      <w:i/>
      <w:iCs w:val="0"/>
      <w:sz w:val="26"/>
      <w:szCs w:val="26"/>
    </w:rPr>
  </w:style>
  <w:style w:type="character" w:customStyle="1" w:styleId="ConsPlusNormal0">
    <w:name w:val="ConsPlusNormal Знак"/>
    <w:basedOn w:val="a1"/>
    <w:link w:val="ConsPlusNormal"/>
    <w:locked/>
    <w:rPr>
      <w:rFonts w:ascii="Arial" w:hAnsi="Arial" w:cs="Arial"/>
      <w:lang w:val="ru-RU" w:eastAsia="ru-RU"/>
    </w:rPr>
  </w:style>
  <w:style w:type="character" w:customStyle="1" w:styleId="a5">
    <w:name w:val="Нижний колонтитул Знак"/>
    <w:basedOn w:val="a1"/>
    <w:link w:val="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2">
    <w:name w:val="heading 2"/>
    <w:basedOn w:val="a0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0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1"/>
  </w:style>
  <w:style w:type="paragraph" w:styleId="a7">
    <w:name w:val="header"/>
    <w:basedOn w:val="a0"/>
    <w:pPr>
      <w:tabs>
        <w:tab w:val="center" w:pos="4677"/>
        <w:tab w:val="right" w:pos="9355"/>
      </w:tabs>
    </w:pPr>
  </w:style>
  <w:style w:type="character" w:styleId="a8">
    <w:name w:val="Hyperlink"/>
    <w:basedOn w:val="a1"/>
    <w:rPr>
      <w:color w:val="0000FF"/>
      <w:u w:val="single"/>
    </w:rPr>
  </w:style>
  <w:style w:type="paragraph" w:styleId="a9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1"/>
    <w:link w:val="3"/>
    <w:semiHidden/>
    <w:rPr>
      <w:rFonts w:ascii="Cambria" w:eastAsia="Times New Roman" w:hAnsi="Cambria" w:cs="Times New Roman"/>
      <w:bCs/>
      <w:sz w:val="26"/>
      <w:szCs w:val="26"/>
    </w:rPr>
  </w:style>
  <w:style w:type="character" w:customStyle="1" w:styleId="wide1">
    <w:name w:val="wide1"/>
    <w:basedOn w:val="a1"/>
  </w:style>
  <w:style w:type="character" w:styleId="aa">
    <w:name w:val="Strong"/>
    <w:basedOn w:val="a1"/>
    <w:uiPriority w:val="22"/>
    <w:qFormat/>
    <w:rPr>
      <w:b/>
      <w:bCs/>
    </w:rPr>
  </w:style>
  <w:style w:type="paragraph" w:customStyle="1" w:styleId="ab">
    <w:name w:val="Знак"/>
    <w:basedOn w:val="a0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b/>
      <w:i/>
      <w:sz w:val="28"/>
      <w:szCs w:val="20"/>
      <w:lang w:val="en-GB" w:eastAsia="en-US"/>
    </w:rPr>
  </w:style>
  <w:style w:type="character" w:styleId="HTML0">
    <w:name w:val="HTML Cite"/>
    <w:basedOn w:val="a1"/>
    <w:rPr>
      <w:i w:val="0"/>
      <w:iCs w:val="0"/>
      <w:color w:val="388222"/>
    </w:rPr>
  </w:style>
  <w:style w:type="character" w:customStyle="1" w:styleId="20">
    <w:name w:val="Заголовок 2 Знак"/>
    <w:basedOn w:val="a1"/>
    <w:link w:val="2"/>
    <w:uiPriority w:val="9"/>
    <w:rPr>
      <w:bCs/>
      <w:sz w:val="36"/>
      <w:szCs w:val="36"/>
    </w:rPr>
  </w:style>
  <w:style w:type="character" w:customStyle="1" w:styleId="FontStyle17">
    <w:name w:val="Font Style17"/>
    <w:basedOn w:val="a1"/>
    <w:rPr>
      <w:rFonts w:ascii="Times New Roman" w:hAnsi="Times New Roman" w:cs="Times New Roman" w:hint="default"/>
      <w:b/>
      <w:bCs w:val="0"/>
      <w:i/>
      <w:iCs w:val="0"/>
      <w:sz w:val="26"/>
      <w:szCs w:val="26"/>
    </w:rPr>
  </w:style>
  <w:style w:type="character" w:customStyle="1" w:styleId="ConsPlusNormal0">
    <w:name w:val="ConsPlusNormal Знак"/>
    <w:basedOn w:val="a1"/>
    <w:link w:val="ConsPlusNormal"/>
    <w:locked/>
    <w:rPr>
      <w:rFonts w:ascii="Arial" w:hAnsi="Arial" w:cs="Arial"/>
      <w:lang w:val="ru-RU" w:eastAsia="ru-RU"/>
    </w:rPr>
  </w:style>
  <w:style w:type="character" w:customStyle="1" w:styleId="a5">
    <w:name w:val="Нижний колонтитул Знак"/>
    <w:basedOn w:val="a1"/>
    <w:link w:val="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1937">
          <w:marLeft w:val="0"/>
          <w:marRight w:val="0"/>
          <w:marTop w:val="0"/>
          <w:marBottom w:val="0"/>
          <w:divBdr>
            <w:top w:val="dotted" w:sz="2" w:space="0" w:color="FFFFFF"/>
            <w:left w:val="dotted" w:sz="48" w:space="0" w:color="FFFFFF"/>
            <w:bottom w:val="dotted" w:sz="2" w:space="0" w:color="FFFFFF"/>
            <w:right w:val="dotted" w:sz="48" w:space="0" w:color="FFFFFF"/>
          </w:divBdr>
          <w:divsChild>
            <w:div w:id="212692577">
              <w:marLeft w:val="-6960"/>
              <w:marRight w:val="-6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9563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2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66A71-BD0F-4781-B3FB-8CA5279E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FRS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MNCPL_603_3</dc:creator>
  <cp:lastModifiedBy>user</cp:lastModifiedBy>
  <cp:revision>2</cp:revision>
  <cp:lastPrinted>2018-12-17T07:34:00Z</cp:lastPrinted>
  <dcterms:created xsi:type="dcterms:W3CDTF">2023-01-20T07:44:00Z</dcterms:created>
  <dcterms:modified xsi:type="dcterms:W3CDTF">2023-01-20T07:44:00Z</dcterms:modified>
</cp:coreProperties>
</file>